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EC" w:rsidRPr="000801FE" w:rsidRDefault="00A40EEC" w:rsidP="00A711C4">
      <w:pPr>
        <w:spacing w:after="0"/>
        <w:ind w:firstLine="851"/>
        <w:jc w:val="both"/>
        <w:rPr>
          <w:rFonts w:ascii="Arial" w:hAnsi="Arial" w:cs="Arial"/>
          <w:sz w:val="20"/>
          <w:szCs w:val="20"/>
        </w:rPr>
      </w:pPr>
      <w:bookmarkStart w:id="0" w:name="_GoBack"/>
      <w:bookmarkEnd w:id="0"/>
      <w:r w:rsidRPr="000801FE">
        <w:rPr>
          <w:rFonts w:ascii="Arial" w:hAnsi="Arial" w:cs="Arial"/>
          <w:sz w:val="20"/>
          <w:szCs w:val="20"/>
        </w:rPr>
        <w:t xml:space="preserve">Согласно части </w:t>
      </w:r>
      <w:proofErr w:type="gramStart"/>
      <w:r w:rsidRPr="000801FE">
        <w:rPr>
          <w:rFonts w:ascii="Arial" w:hAnsi="Arial" w:cs="Arial"/>
          <w:sz w:val="20"/>
          <w:szCs w:val="20"/>
        </w:rPr>
        <w:t>3  статьи</w:t>
      </w:r>
      <w:proofErr w:type="gramEnd"/>
      <w:r w:rsidRPr="000801FE">
        <w:rPr>
          <w:rFonts w:ascii="Arial" w:hAnsi="Arial" w:cs="Arial"/>
          <w:sz w:val="20"/>
          <w:szCs w:val="20"/>
        </w:rPr>
        <w:t xml:space="preserve"> 85 федерального закона от 26,12,1995 №208-ФЗ «об акционерных  обществах», на основании письма заместителя руководителя РОСИМУЩЕСТВА ИА-03/11075ш от 19,03,2014г и протокола № 9 от 05,05,2014  ОАО «</w:t>
      </w:r>
      <w:r w:rsidR="003E00E3">
        <w:rPr>
          <w:rFonts w:ascii="Arial" w:hAnsi="Arial" w:cs="Arial"/>
          <w:sz w:val="20"/>
          <w:szCs w:val="20"/>
        </w:rPr>
        <w:t>КОМПАНИЯ</w:t>
      </w:r>
      <w:r w:rsidRPr="000801FE">
        <w:rPr>
          <w:rFonts w:ascii="Arial" w:hAnsi="Arial" w:cs="Arial"/>
          <w:sz w:val="20"/>
          <w:szCs w:val="20"/>
        </w:rPr>
        <w:t>» им Верещагина, была проведена проверка деятельности ОАО «</w:t>
      </w:r>
      <w:r w:rsidR="003E00E3">
        <w:rPr>
          <w:rFonts w:ascii="Arial" w:hAnsi="Arial" w:cs="Arial"/>
          <w:sz w:val="20"/>
          <w:szCs w:val="20"/>
        </w:rPr>
        <w:t>КОМПАНИЯ</w:t>
      </w:r>
      <w:r w:rsidRPr="000801FE">
        <w:rPr>
          <w:rFonts w:ascii="Arial" w:hAnsi="Arial" w:cs="Arial"/>
          <w:sz w:val="20"/>
          <w:szCs w:val="20"/>
        </w:rPr>
        <w:t>» в 2013 году.</w:t>
      </w:r>
    </w:p>
    <w:p w:rsidR="00A40EEC" w:rsidRPr="000801FE" w:rsidRDefault="00A40EEC" w:rsidP="00A711C4">
      <w:pPr>
        <w:spacing w:after="0"/>
        <w:ind w:firstLine="851"/>
        <w:jc w:val="both"/>
        <w:rPr>
          <w:rFonts w:ascii="Arial" w:hAnsi="Arial" w:cs="Arial"/>
          <w:sz w:val="20"/>
          <w:szCs w:val="20"/>
        </w:rPr>
      </w:pPr>
    </w:p>
    <w:p w:rsidR="00B9376E" w:rsidRPr="000801FE" w:rsidRDefault="00A40EEC" w:rsidP="00B9376E">
      <w:pPr>
        <w:jc w:val="both"/>
        <w:rPr>
          <w:rFonts w:ascii="Arial" w:hAnsi="Arial" w:cs="Arial"/>
          <w:sz w:val="20"/>
          <w:szCs w:val="20"/>
        </w:rPr>
      </w:pPr>
      <w:r w:rsidRPr="000801FE">
        <w:rPr>
          <w:rFonts w:ascii="Arial" w:hAnsi="Arial" w:cs="Arial"/>
          <w:sz w:val="20"/>
          <w:szCs w:val="20"/>
        </w:rPr>
        <w:t xml:space="preserve">  </w:t>
      </w:r>
      <w:r w:rsidR="00B9376E" w:rsidRPr="000801FE">
        <w:rPr>
          <w:rFonts w:ascii="Arial" w:hAnsi="Arial" w:cs="Arial"/>
          <w:sz w:val="20"/>
          <w:szCs w:val="20"/>
        </w:rPr>
        <w:tab/>
        <w:t xml:space="preserve">Ревизионной комиссией проведена проверка представленных форм бухгалтерской отчетности </w:t>
      </w:r>
      <w:proofErr w:type="gramStart"/>
      <w:r w:rsidR="00B9376E" w:rsidRPr="000801FE">
        <w:rPr>
          <w:rFonts w:ascii="Arial" w:hAnsi="Arial" w:cs="Arial"/>
          <w:sz w:val="20"/>
          <w:szCs w:val="20"/>
        </w:rPr>
        <w:t>ОАО  «</w:t>
      </w:r>
      <w:proofErr w:type="spellStart"/>
      <w:proofErr w:type="gramEnd"/>
      <w:r w:rsidR="003E00E3">
        <w:rPr>
          <w:rFonts w:ascii="Arial" w:hAnsi="Arial" w:cs="Arial"/>
          <w:sz w:val="20"/>
          <w:szCs w:val="20"/>
        </w:rPr>
        <w:t>КОМПАНИЯ</w:t>
      </w:r>
      <w:r w:rsidR="00B9376E" w:rsidRPr="000801FE">
        <w:rPr>
          <w:rFonts w:ascii="Arial" w:hAnsi="Arial" w:cs="Arial"/>
          <w:sz w:val="20"/>
          <w:szCs w:val="20"/>
        </w:rPr>
        <w:t>»за</w:t>
      </w:r>
      <w:proofErr w:type="spellEnd"/>
      <w:r w:rsidR="00B9376E" w:rsidRPr="000801FE">
        <w:rPr>
          <w:rFonts w:ascii="Arial" w:hAnsi="Arial" w:cs="Arial"/>
          <w:sz w:val="20"/>
          <w:szCs w:val="20"/>
        </w:rPr>
        <w:t xml:space="preserve"> 2013 год:</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Бухгалтерский баланс на 31.12.2013 г.</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Отчет о прибылях и убытках за 2013 год.</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 xml:space="preserve">Производственно-финансовый план на 2013 год </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Отчет о движении денежных средств за 2013 год.</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Аудиторское заключение отчетности за 2013 год.</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Годовой отчет ОАО за 2013 год.</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Отчет  по продажам за 2013 год.</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Пояснение к годовой бухгалтерской отчетности.</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Отчет об изменении капитала за 2013 год.</w:t>
      </w:r>
    </w:p>
    <w:p w:rsidR="00B9376E" w:rsidRPr="000801FE" w:rsidRDefault="00B9376E" w:rsidP="00B9376E">
      <w:pPr>
        <w:numPr>
          <w:ilvl w:val="0"/>
          <w:numId w:val="1"/>
        </w:numPr>
        <w:spacing w:after="0" w:line="240" w:lineRule="auto"/>
        <w:jc w:val="both"/>
        <w:rPr>
          <w:rFonts w:ascii="Arial" w:hAnsi="Arial" w:cs="Arial"/>
          <w:sz w:val="20"/>
          <w:szCs w:val="20"/>
        </w:rPr>
      </w:pPr>
      <w:r w:rsidRPr="000801FE">
        <w:rPr>
          <w:rFonts w:ascii="Arial" w:hAnsi="Arial" w:cs="Arial"/>
          <w:sz w:val="20"/>
          <w:szCs w:val="20"/>
        </w:rPr>
        <w:t>Отчет о финансовых результатах за 2013 год.</w:t>
      </w:r>
    </w:p>
    <w:p w:rsidR="00A40EEC" w:rsidRPr="000801FE" w:rsidRDefault="00B9376E" w:rsidP="00B9376E">
      <w:pPr>
        <w:spacing w:after="0"/>
        <w:jc w:val="both"/>
        <w:rPr>
          <w:rFonts w:ascii="Arial" w:hAnsi="Arial" w:cs="Arial"/>
          <w:sz w:val="20"/>
          <w:szCs w:val="20"/>
        </w:rPr>
      </w:pPr>
      <w:r w:rsidRPr="000801FE">
        <w:rPr>
          <w:rFonts w:ascii="Arial" w:hAnsi="Arial" w:cs="Arial"/>
          <w:sz w:val="20"/>
          <w:szCs w:val="20"/>
        </w:rPr>
        <w:t xml:space="preserve">      11.Хозяйственные договора и отгрузочные накладные</w:t>
      </w:r>
    </w:p>
    <w:p w:rsidR="00B9376E" w:rsidRPr="000801FE" w:rsidRDefault="00B9376E" w:rsidP="00B9376E">
      <w:pPr>
        <w:spacing w:after="0"/>
        <w:jc w:val="both"/>
        <w:rPr>
          <w:rFonts w:ascii="Arial" w:hAnsi="Arial" w:cs="Arial"/>
          <w:sz w:val="20"/>
          <w:szCs w:val="20"/>
        </w:rPr>
      </w:pPr>
    </w:p>
    <w:p w:rsidR="00B9376E" w:rsidRPr="000801FE" w:rsidRDefault="00B9376E" w:rsidP="00B9376E">
      <w:pPr>
        <w:numPr>
          <w:ilvl w:val="0"/>
          <w:numId w:val="2"/>
        </w:numPr>
        <w:tabs>
          <w:tab w:val="num" w:pos="0"/>
        </w:tabs>
        <w:spacing w:after="0" w:line="240" w:lineRule="auto"/>
        <w:ind w:left="0" w:firstLine="360"/>
        <w:jc w:val="both"/>
        <w:rPr>
          <w:rFonts w:ascii="Arial" w:hAnsi="Arial" w:cs="Arial"/>
          <w:sz w:val="20"/>
          <w:szCs w:val="20"/>
        </w:rPr>
      </w:pPr>
      <w:r w:rsidRPr="000801FE">
        <w:rPr>
          <w:rFonts w:ascii="Arial" w:hAnsi="Arial" w:cs="Arial"/>
          <w:sz w:val="20"/>
          <w:szCs w:val="20"/>
        </w:rPr>
        <w:t xml:space="preserve">После изучения структуры </w:t>
      </w:r>
      <w:proofErr w:type="gramStart"/>
      <w:r w:rsidRPr="000801FE">
        <w:rPr>
          <w:rFonts w:ascii="Arial" w:hAnsi="Arial" w:cs="Arial"/>
          <w:sz w:val="20"/>
          <w:szCs w:val="20"/>
        </w:rPr>
        <w:t>сбыта ,предприятия</w:t>
      </w:r>
      <w:proofErr w:type="gramEnd"/>
      <w:r w:rsidRPr="000801FE">
        <w:rPr>
          <w:rFonts w:ascii="Arial" w:hAnsi="Arial" w:cs="Arial"/>
          <w:sz w:val="20"/>
          <w:szCs w:val="20"/>
        </w:rPr>
        <w:t xml:space="preserve">, ревизионная комиссия выявила крайне простую схему  дистрибуции. Подавляющая  часть продукции (более 65 процентов) продается одной организации, которая не является розничным продавцом. Это означает, что продукция предприятия пере продается как минимум дважды </w:t>
      </w:r>
      <w:proofErr w:type="gramStart"/>
      <w:r w:rsidRPr="000801FE">
        <w:rPr>
          <w:rFonts w:ascii="Arial" w:hAnsi="Arial" w:cs="Arial"/>
          <w:sz w:val="20"/>
          <w:szCs w:val="20"/>
        </w:rPr>
        <w:t>до того как</w:t>
      </w:r>
      <w:proofErr w:type="gramEnd"/>
      <w:r w:rsidRPr="000801FE">
        <w:rPr>
          <w:rFonts w:ascii="Arial" w:hAnsi="Arial" w:cs="Arial"/>
          <w:sz w:val="20"/>
          <w:szCs w:val="20"/>
        </w:rPr>
        <w:t xml:space="preserve"> попадает к конечному потребителю.</w:t>
      </w:r>
    </w:p>
    <w:p w:rsidR="00B9376E" w:rsidRPr="000801FE" w:rsidRDefault="00B9376E" w:rsidP="00B9376E">
      <w:pPr>
        <w:jc w:val="both"/>
        <w:rPr>
          <w:rFonts w:ascii="Arial" w:hAnsi="Arial" w:cs="Arial"/>
          <w:sz w:val="20"/>
          <w:szCs w:val="20"/>
        </w:rPr>
      </w:pPr>
      <w:r w:rsidRPr="000801FE">
        <w:rPr>
          <w:rFonts w:ascii="Arial" w:hAnsi="Arial" w:cs="Arial"/>
          <w:sz w:val="20"/>
          <w:szCs w:val="20"/>
        </w:rPr>
        <w:t xml:space="preserve"> Система дистрибуции, в которой присутствует явно лишняя ступень снижает</w:t>
      </w:r>
      <w:r w:rsidRPr="000801FE">
        <w:rPr>
          <w:rFonts w:ascii="Arial" w:hAnsi="Arial" w:cs="Arial"/>
          <w:sz w:val="20"/>
          <w:szCs w:val="20"/>
        </w:rPr>
        <w:br/>
        <w:t xml:space="preserve">рентабельность предприятия вплоть до отрицательной. </w:t>
      </w:r>
    </w:p>
    <w:p w:rsidR="00B9376E" w:rsidRPr="000801FE" w:rsidRDefault="00B9376E" w:rsidP="00B9376E">
      <w:pPr>
        <w:jc w:val="both"/>
        <w:rPr>
          <w:rFonts w:ascii="Arial" w:hAnsi="Arial" w:cs="Arial"/>
          <w:sz w:val="20"/>
          <w:szCs w:val="20"/>
        </w:rPr>
      </w:pPr>
      <w:r w:rsidRPr="000801FE">
        <w:rPr>
          <w:rFonts w:ascii="Arial" w:hAnsi="Arial" w:cs="Arial"/>
          <w:sz w:val="20"/>
          <w:szCs w:val="20"/>
        </w:rPr>
        <w:t xml:space="preserve">Ревизионная комиссия обнаружила </w:t>
      </w:r>
      <w:proofErr w:type="gramStart"/>
      <w:r w:rsidRPr="000801FE">
        <w:rPr>
          <w:rFonts w:ascii="Arial" w:hAnsi="Arial" w:cs="Arial"/>
          <w:sz w:val="20"/>
          <w:szCs w:val="20"/>
        </w:rPr>
        <w:t>действия ,явно</w:t>
      </w:r>
      <w:proofErr w:type="gramEnd"/>
      <w:r w:rsidRPr="000801FE">
        <w:rPr>
          <w:rFonts w:ascii="Arial" w:hAnsi="Arial" w:cs="Arial"/>
          <w:sz w:val="20"/>
          <w:szCs w:val="20"/>
        </w:rPr>
        <w:t xml:space="preserve"> не имеющие экономического смысла и приносящие предприятию убытки такие как: аренда у фирмы  покупателя ТД «Молочное» автомобиля БМВ Х6 по цене  превышающая более чем в 5 раз аренда по договору 160/</w:t>
      </w:r>
      <w:r w:rsidR="000801FE">
        <w:rPr>
          <w:rFonts w:ascii="Arial" w:hAnsi="Arial" w:cs="Arial"/>
          <w:sz w:val="20"/>
          <w:szCs w:val="20"/>
        </w:rPr>
        <w:t>4 от 20 10 2011 года</w:t>
      </w:r>
      <w:r w:rsidRPr="000801FE">
        <w:rPr>
          <w:rFonts w:ascii="Arial" w:hAnsi="Arial" w:cs="Arial"/>
          <w:sz w:val="20"/>
          <w:szCs w:val="20"/>
        </w:rPr>
        <w:t>.</w:t>
      </w:r>
    </w:p>
    <w:p w:rsidR="00B9376E" w:rsidRPr="000801FE" w:rsidRDefault="00B9376E" w:rsidP="00B9376E">
      <w:pPr>
        <w:jc w:val="both"/>
        <w:rPr>
          <w:rFonts w:ascii="Arial" w:hAnsi="Arial" w:cs="Arial"/>
          <w:sz w:val="20"/>
          <w:szCs w:val="20"/>
        </w:rPr>
      </w:pPr>
      <w:r w:rsidRPr="000801FE">
        <w:rPr>
          <w:rFonts w:ascii="Arial" w:hAnsi="Arial" w:cs="Arial"/>
          <w:sz w:val="20"/>
          <w:szCs w:val="20"/>
        </w:rPr>
        <w:t xml:space="preserve">Продажа той же фирме грузового автотранспорта по договорам 168/4,169/4,170/4 и </w:t>
      </w:r>
      <w:proofErr w:type="spellStart"/>
      <w:proofErr w:type="gramStart"/>
      <w:r w:rsidRPr="000801FE">
        <w:rPr>
          <w:rFonts w:ascii="Arial" w:hAnsi="Arial" w:cs="Arial"/>
          <w:sz w:val="20"/>
          <w:szCs w:val="20"/>
        </w:rPr>
        <w:t>тд,и</w:t>
      </w:r>
      <w:proofErr w:type="spellEnd"/>
      <w:proofErr w:type="gramEnd"/>
      <w:r w:rsidRPr="000801FE">
        <w:rPr>
          <w:rFonts w:ascii="Arial" w:hAnsi="Arial" w:cs="Arial"/>
          <w:sz w:val="20"/>
          <w:szCs w:val="20"/>
        </w:rPr>
        <w:t xml:space="preserve"> аренда аналогичного транспорта по цене годовой ставки выше чем цена продажи договора аренды 237/4,160/4 и </w:t>
      </w:r>
      <w:proofErr w:type="spellStart"/>
      <w:r w:rsidRPr="000801FE">
        <w:rPr>
          <w:rFonts w:ascii="Arial" w:hAnsi="Arial" w:cs="Arial"/>
          <w:sz w:val="20"/>
          <w:szCs w:val="20"/>
        </w:rPr>
        <w:t>тд</w:t>
      </w:r>
      <w:proofErr w:type="spellEnd"/>
      <w:r w:rsidRPr="000801FE">
        <w:rPr>
          <w:rFonts w:ascii="Arial" w:hAnsi="Arial" w:cs="Arial"/>
          <w:sz w:val="20"/>
          <w:szCs w:val="20"/>
        </w:rPr>
        <w:t>,.</w:t>
      </w:r>
    </w:p>
    <w:p w:rsidR="00B9376E" w:rsidRPr="000801FE" w:rsidRDefault="00B9376E" w:rsidP="00B9376E">
      <w:pPr>
        <w:jc w:val="both"/>
        <w:rPr>
          <w:rFonts w:ascii="Arial" w:hAnsi="Arial" w:cs="Arial"/>
          <w:sz w:val="20"/>
          <w:szCs w:val="20"/>
        </w:rPr>
      </w:pPr>
      <w:r w:rsidRPr="000801FE">
        <w:rPr>
          <w:rFonts w:ascii="Arial" w:hAnsi="Arial" w:cs="Arial"/>
          <w:sz w:val="20"/>
          <w:szCs w:val="20"/>
        </w:rPr>
        <w:t xml:space="preserve">Продажа продукции компании ТД «Молочное» по цене на 10 процентов ниже чем другим </w:t>
      </w:r>
      <w:proofErr w:type="gramStart"/>
      <w:r w:rsidRPr="000801FE">
        <w:rPr>
          <w:rFonts w:ascii="Arial" w:hAnsi="Arial" w:cs="Arial"/>
          <w:sz w:val="20"/>
          <w:szCs w:val="20"/>
        </w:rPr>
        <w:t>клиентам .Потенциальный</w:t>
      </w:r>
      <w:proofErr w:type="gramEnd"/>
      <w:r w:rsidRPr="000801FE">
        <w:rPr>
          <w:rFonts w:ascii="Arial" w:hAnsi="Arial" w:cs="Arial"/>
          <w:sz w:val="20"/>
          <w:szCs w:val="20"/>
        </w:rPr>
        <w:t xml:space="preserve"> ущерб ,нанесенный предприятию сделками, заключёнными с компанией ТД «Молочное»  составляет более ста миллионов рублей. Ревизионная комиссия </w:t>
      </w:r>
      <w:proofErr w:type="gramStart"/>
      <w:r w:rsidRPr="000801FE">
        <w:rPr>
          <w:rFonts w:ascii="Arial" w:hAnsi="Arial" w:cs="Arial"/>
          <w:sz w:val="20"/>
          <w:szCs w:val="20"/>
        </w:rPr>
        <w:t>предполагает ,что</w:t>
      </w:r>
      <w:proofErr w:type="gramEnd"/>
      <w:r w:rsidRPr="000801FE">
        <w:rPr>
          <w:rFonts w:ascii="Arial" w:hAnsi="Arial" w:cs="Arial"/>
          <w:sz w:val="20"/>
          <w:szCs w:val="20"/>
        </w:rPr>
        <w:t xml:space="preserve"> генеральный директор предприятия имеет прямую или косвенную связь с владельцами или руководством ТД «Молочное» и совершает явно убыточные сделки, действия в интересах ТД «Молочное».Генеральный директор  ОАО «</w:t>
      </w:r>
      <w:r w:rsidR="003E00E3">
        <w:rPr>
          <w:rFonts w:ascii="Arial" w:hAnsi="Arial" w:cs="Arial"/>
          <w:sz w:val="20"/>
          <w:szCs w:val="20"/>
        </w:rPr>
        <w:t>КОМПАНИЯ</w:t>
      </w:r>
      <w:r w:rsidRPr="000801FE">
        <w:rPr>
          <w:rFonts w:ascii="Arial" w:hAnsi="Arial" w:cs="Arial"/>
          <w:sz w:val="20"/>
          <w:szCs w:val="20"/>
        </w:rPr>
        <w:t>»   заключает очевидно не выгодные контракты ,что является основанием для отстранения его от работы и проведения дополнительной проверки на коррупционною составляющую в отношениях с ТД «Молочное».</w:t>
      </w:r>
    </w:p>
    <w:p w:rsidR="00B9376E" w:rsidRPr="000801FE" w:rsidRDefault="00B9376E" w:rsidP="00B9376E">
      <w:pPr>
        <w:jc w:val="both"/>
        <w:rPr>
          <w:rFonts w:ascii="Arial" w:hAnsi="Arial" w:cs="Arial"/>
          <w:sz w:val="20"/>
          <w:szCs w:val="20"/>
        </w:rPr>
      </w:pPr>
      <w:r w:rsidRPr="000801FE">
        <w:rPr>
          <w:rFonts w:ascii="Arial" w:hAnsi="Arial" w:cs="Arial"/>
          <w:sz w:val="20"/>
          <w:szCs w:val="20"/>
        </w:rPr>
        <w:t xml:space="preserve"> ОАО «</w:t>
      </w:r>
      <w:proofErr w:type="gramStart"/>
      <w:r w:rsidR="003E00E3">
        <w:rPr>
          <w:rFonts w:ascii="Arial" w:hAnsi="Arial" w:cs="Arial"/>
          <w:sz w:val="20"/>
          <w:szCs w:val="20"/>
        </w:rPr>
        <w:t>КОМПАНИЯ</w:t>
      </w:r>
      <w:r w:rsidRPr="000801FE">
        <w:rPr>
          <w:rFonts w:ascii="Arial" w:hAnsi="Arial" w:cs="Arial"/>
          <w:sz w:val="20"/>
          <w:szCs w:val="20"/>
        </w:rPr>
        <w:t xml:space="preserve">»   </w:t>
      </w:r>
      <w:proofErr w:type="gramEnd"/>
      <w:r w:rsidRPr="000801FE">
        <w:rPr>
          <w:rFonts w:ascii="Arial" w:hAnsi="Arial" w:cs="Arial"/>
          <w:sz w:val="20"/>
          <w:szCs w:val="20"/>
        </w:rPr>
        <w:t>следует отказаться от сотрудничества с ТД «Молочное» и перейти на прямые договора с сетями типа ЗАО «Тандер» (МАГНИТ),что позволит  в годовом исчислении повысить доход на сумму превышающую сто миллионов рублей в виду отгрузки по более высоким ценам . На сегодня продукция ОАО «</w:t>
      </w:r>
      <w:proofErr w:type="gramStart"/>
      <w:r w:rsidR="003E00E3">
        <w:rPr>
          <w:rFonts w:ascii="Arial" w:hAnsi="Arial" w:cs="Arial"/>
          <w:sz w:val="20"/>
          <w:szCs w:val="20"/>
        </w:rPr>
        <w:t>КОМПАНИЯ</w:t>
      </w:r>
      <w:r w:rsidRPr="000801FE">
        <w:rPr>
          <w:rFonts w:ascii="Arial" w:hAnsi="Arial" w:cs="Arial"/>
          <w:sz w:val="20"/>
          <w:szCs w:val="20"/>
        </w:rPr>
        <w:t xml:space="preserve">»   </w:t>
      </w:r>
      <w:proofErr w:type="gramEnd"/>
      <w:r w:rsidRPr="000801FE">
        <w:rPr>
          <w:rFonts w:ascii="Arial" w:hAnsi="Arial" w:cs="Arial"/>
          <w:sz w:val="20"/>
          <w:szCs w:val="20"/>
        </w:rPr>
        <w:t xml:space="preserve">  могла бы поставляться напрямую в такие торговые сети как;АШАН,МЕТРО,Х5,Ритейл,Дикси.</w:t>
      </w:r>
    </w:p>
    <w:p w:rsidR="00E646B0" w:rsidRPr="000801FE" w:rsidRDefault="00E646B0" w:rsidP="00E646B0">
      <w:pPr>
        <w:ind w:firstLine="709"/>
        <w:jc w:val="both"/>
        <w:rPr>
          <w:rFonts w:ascii="Arial" w:hAnsi="Arial" w:cs="Arial"/>
          <w:sz w:val="20"/>
          <w:szCs w:val="20"/>
        </w:rPr>
      </w:pPr>
      <w:r w:rsidRPr="000801FE">
        <w:rPr>
          <w:rFonts w:ascii="Arial" w:hAnsi="Arial" w:cs="Arial"/>
          <w:sz w:val="20"/>
          <w:szCs w:val="20"/>
        </w:rPr>
        <w:t>Я как независимый эксперт и председатель ревизионной комиссия рекомендовал отстранить генерального директора ОАО «</w:t>
      </w:r>
      <w:r w:rsidR="003E00E3">
        <w:rPr>
          <w:rFonts w:ascii="Arial" w:hAnsi="Arial" w:cs="Arial"/>
          <w:sz w:val="20"/>
          <w:szCs w:val="20"/>
        </w:rPr>
        <w:t>КОМПАНИЯ</w:t>
      </w:r>
      <w:r w:rsidRPr="000801FE">
        <w:rPr>
          <w:rFonts w:ascii="Arial" w:hAnsi="Arial" w:cs="Arial"/>
          <w:sz w:val="20"/>
          <w:szCs w:val="20"/>
        </w:rPr>
        <w:t>» от исполнения обязанностей и обратиться в правоохранительные органы для проведения проверок сделок, им совершенных за 2013 год и за предыдущие периоды с целью выявления фактов присвоения имущества ОАО «</w:t>
      </w:r>
      <w:r w:rsidR="003E00E3">
        <w:rPr>
          <w:rFonts w:ascii="Arial" w:hAnsi="Arial" w:cs="Arial"/>
          <w:sz w:val="20"/>
          <w:szCs w:val="20"/>
        </w:rPr>
        <w:t>КОМПАНИЯ</w:t>
      </w:r>
      <w:r w:rsidRPr="000801FE">
        <w:rPr>
          <w:rFonts w:ascii="Arial" w:hAnsi="Arial" w:cs="Arial"/>
          <w:sz w:val="20"/>
          <w:szCs w:val="20"/>
        </w:rPr>
        <w:t>» генеральным директором и конкретных его механизмов с использованием ТД «Молочное».</w:t>
      </w:r>
    </w:p>
    <w:p w:rsidR="00E646B0" w:rsidRDefault="00E646B0" w:rsidP="00B9376E">
      <w:pPr>
        <w:jc w:val="both"/>
        <w:rPr>
          <w:rFonts w:ascii="Arial" w:hAnsi="Arial" w:cs="Arial"/>
          <w:sz w:val="20"/>
          <w:szCs w:val="20"/>
        </w:rPr>
      </w:pPr>
    </w:p>
    <w:sectPr w:rsidR="00E646B0" w:rsidSect="00EF3091">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05AF6"/>
    <w:multiLevelType w:val="hybridMultilevel"/>
    <w:tmpl w:val="8C2257B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5A07152B"/>
    <w:multiLevelType w:val="hybridMultilevel"/>
    <w:tmpl w:val="8AF8E1CE"/>
    <w:lvl w:ilvl="0" w:tplc="0419000F">
      <w:start w:val="1"/>
      <w:numFmt w:val="decimal"/>
      <w:lvlText w:val="%1."/>
      <w:lvlJc w:val="left"/>
      <w:pPr>
        <w:tabs>
          <w:tab w:val="num" w:pos="720"/>
        </w:tabs>
        <w:ind w:left="720" w:hanging="360"/>
      </w:pPr>
    </w:lvl>
    <w:lvl w:ilvl="1" w:tplc="36B8952A">
      <w:start w:val="1"/>
      <w:numFmt w:val="bullet"/>
      <w:lvlText w:val=""/>
      <w:lvlJc w:val="left"/>
      <w:pPr>
        <w:tabs>
          <w:tab w:val="num" w:pos="1440"/>
        </w:tabs>
        <w:ind w:left="1440" w:hanging="360"/>
      </w:pPr>
      <w:rPr>
        <w:rFonts w:ascii="Symbol" w:hAnsi="Symbol"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91"/>
    <w:rsid w:val="000754F7"/>
    <w:rsid w:val="000801FE"/>
    <w:rsid w:val="001B131F"/>
    <w:rsid w:val="001D0C07"/>
    <w:rsid w:val="00224103"/>
    <w:rsid w:val="002E3B31"/>
    <w:rsid w:val="003E00E3"/>
    <w:rsid w:val="00431866"/>
    <w:rsid w:val="004F63FD"/>
    <w:rsid w:val="00526142"/>
    <w:rsid w:val="005A0BBE"/>
    <w:rsid w:val="00706D7D"/>
    <w:rsid w:val="00742F8C"/>
    <w:rsid w:val="007A13F1"/>
    <w:rsid w:val="00964874"/>
    <w:rsid w:val="00A40EEC"/>
    <w:rsid w:val="00A711C4"/>
    <w:rsid w:val="00AA1602"/>
    <w:rsid w:val="00AA6D39"/>
    <w:rsid w:val="00AF45BA"/>
    <w:rsid w:val="00B9376E"/>
    <w:rsid w:val="00C00432"/>
    <w:rsid w:val="00D10945"/>
    <w:rsid w:val="00E646B0"/>
    <w:rsid w:val="00E83DC8"/>
    <w:rsid w:val="00EF3091"/>
    <w:rsid w:val="00F82F5F"/>
    <w:rsid w:val="00FB3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EFBD-F916-4BA8-9971-42C954CA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20E3-01CC-4D2C-ABA2-B6BBFB7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Рындин</dc:creator>
  <cp:keywords/>
  <dc:description/>
  <cp:lastModifiedBy>nikolay starchenko</cp:lastModifiedBy>
  <cp:revision>2</cp:revision>
  <dcterms:created xsi:type="dcterms:W3CDTF">2014-11-03T07:09:00Z</dcterms:created>
  <dcterms:modified xsi:type="dcterms:W3CDTF">2014-11-03T07:09:00Z</dcterms:modified>
</cp:coreProperties>
</file>